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EC18" w14:textId="102536A0" w:rsidR="00DB5394" w:rsidRDefault="76DA7B60" w:rsidP="551C3D9C">
      <w:pPr>
        <w:rPr>
          <w:rFonts w:ascii="Source Sans Pro" w:eastAsia="Source Sans Pro" w:hAnsi="Source Sans Pro" w:cs="Source Sans Pro"/>
          <w:b/>
          <w:bCs/>
          <w:color w:val="132C45"/>
          <w:u w:val="single"/>
        </w:rPr>
      </w:pPr>
      <w:r w:rsidRPr="551C3D9C">
        <w:rPr>
          <w:rFonts w:ascii="Source Sans Pro" w:eastAsia="Source Sans Pro" w:hAnsi="Source Sans Pro" w:cs="Source Sans Pro"/>
          <w:b/>
          <w:bCs/>
          <w:color w:val="132C45"/>
        </w:rPr>
        <w:t xml:space="preserve">TOTAL EXPERT WINTER RELEASE </w:t>
      </w:r>
    </w:p>
    <w:p w14:paraId="2604C36F" w14:textId="6F1C3858" w:rsidR="00DB5394" w:rsidRDefault="76DA7B60" w:rsidP="551C3D9C">
      <w:pPr>
        <w:rPr>
          <w:rFonts w:ascii="Source Sans Pro" w:eastAsia="Source Sans Pro" w:hAnsi="Source Sans Pro" w:cs="Source Sans Pro"/>
          <w:b/>
          <w:bCs/>
          <w:color w:val="265EAC"/>
        </w:rPr>
      </w:pPr>
      <w:r w:rsidRPr="551C3D9C">
        <w:rPr>
          <w:rFonts w:ascii="Source Sans Pro" w:eastAsia="Source Sans Pro" w:hAnsi="Source Sans Pro" w:cs="Source Sans Pro"/>
          <w:b/>
          <w:bCs/>
          <w:color w:val="265EAC"/>
        </w:rPr>
        <w:t>M</w:t>
      </w:r>
      <w:r w:rsidR="715EDF40" w:rsidRPr="551C3D9C">
        <w:rPr>
          <w:rFonts w:ascii="Source Sans Pro" w:eastAsia="Source Sans Pro" w:hAnsi="Source Sans Pro" w:cs="Source Sans Pro"/>
          <w:b/>
          <w:bCs/>
          <w:color w:val="265EAC"/>
        </w:rPr>
        <w:t>ortgage Loan Officer Engagement Email</w:t>
      </w:r>
    </w:p>
    <w:p w14:paraId="7BBFDE2F" w14:textId="1DE37A52" w:rsidR="00DB5394" w:rsidRDefault="059659E6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</w:rPr>
        <w:t>The purpose of this asset is</w:t>
      </w:r>
      <w:r w:rsidR="3D8AAC82" w:rsidRPr="551C3D9C">
        <w:rPr>
          <w:rFonts w:ascii="Source Sans Pro" w:eastAsia="Source Sans Pro" w:hAnsi="Source Sans Pro" w:cs="Source Sans Pro"/>
        </w:rPr>
        <w:t xml:space="preserve"> t</w:t>
      </w:r>
      <w:r w:rsidR="30410FAA" w:rsidRPr="551C3D9C">
        <w:rPr>
          <w:rFonts w:ascii="Source Sans Pro" w:eastAsia="Source Sans Pro" w:hAnsi="Source Sans Pro" w:cs="Source Sans Pro"/>
        </w:rPr>
        <w:t xml:space="preserve">o help you drive adoption </w:t>
      </w:r>
      <w:r w:rsidR="413807B2" w:rsidRPr="551C3D9C">
        <w:rPr>
          <w:rFonts w:ascii="Source Sans Pro" w:eastAsia="Source Sans Pro" w:hAnsi="Source Sans Pro" w:cs="Source Sans Pro"/>
        </w:rPr>
        <w:t xml:space="preserve">and </w:t>
      </w:r>
      <w:r w:rsidR="641F5998" w:rsidRPr="551C3D9C">
        <w:rPr>
          <w:rFonts w:ascii="Source Sans Pro" w:eastAsia="Source Sans Pro" w:hAnsi="Source Sans Pro" w:cs="Source Sans Pro"/>
        </w:rPr>
        <w:t>encourage</w:t>
      </w:r>
      <w:r w:rsidR="0211F5F6" w:rsidRPr="551C3D9C">
        <w:rPr>
          <w:rFonts w:ascii="Source Sans Pro" w:eastAsia="Source Sans Pro" w:hAnsi="Source Sans Pro" w:cs="Source Sans Pro"/>
        </w:rPr>
        <w:t xml:space="preserve"> </w:t>
      </w:r>
      <w:r w:rsidR="1442104B" w:rsidRPr="551C3D9C">
        <w:rPr>
          <w:rFonts w:ascii="Source Sans Pro" w:eastAsia="Source Sans Pro" w:hAnsi="Source Sans Pro" w:cs="Source Sans Pro"/>
        </w:rPr>
        <w:t>M</w:t>
      </w:r>
      <w:r w:rsidR="0211F5F6" w:rsidRPr="551C3D9C">
        <w:rPr>
          <w:rFonts w:ascii="Source Sans Pro" w:eastAsia="Source Sans Pro" w:hAnsi="Source Sans Pro" w:cs="Source Sans Pro"/>
        </w:rPr>
        <w:t>L</w:t>
      </w:r>
      <w:r w:rsidR="30410FAA" w:rsidRPr="551C3D9C">
        <w:rPr>
          <w:rFonts w:ascii="Source Sans Pro" w:eastAsia="Source Sans Pro" w:hAnsi="Source Sans Pro" w:cs="Source Sans Pro"/>
        </w:rPr>
        <w:t>Os</w:t>
      </w:r>
      <w:r w:rsidR="22BD0E6C" w:rsidRPr="551C3D9C">
        <w:rPr>
          <w:rFonts w:ascii="Source Sans Pro" w:eastAsia="Source Sans Pro" w:hAnsi="Source Sans Pro" w:cs="Source Sans Pro"/>
        </w:rPr>
        <w:t xml:space="preserve"> </w:t>
      </w:r>
      <w:r w:rsidR="07EC931B" w:rsidRPr="551C3D9C">
        <w:rPr>
          <w:rFonts w:ascii="Source Sans Pro" w:eastAsia="Source Sans Pro" w:hAnsi="Source Sans Pro" w:cs="Source Sans Pro"/>
        </w:rPr>
        <w:t xml:space="preserve">to use new </w:t>
      </w:r>
      <w:r w:rsidR="616CB431" w:rsidRPr="551C3D9C">
        <w:rPr>
          <w:rFonts w:ascii="Source Sans Pro" w:eastAsia="Source Sans Pro" w:hAnsi="Source Sans Pro" w:cs="Source Sans Pro"/>
        </w:rPr>
        <w:t>Total Expert features specifically built for them</w:t>
      </w:r>
      <w:r w:rsidR="07EC931B" w:rsidRPr="551C3D9C">
        <w:rPr>
          <w:rFonts w:ascii="Source Sans Pro" w:eastAsia="Source Sans Pro" w:hAnsi="Source Sans Pro" w:cs="Source Sans Pro"/>
        </w:rPr>
        <w:t xml:space="preserve"> </w:t>
      </w:r>
      <w:r w:rsidR="30410FAA" w:rsidRPr="551C3D9C">
        <w:rPr>
          <w:rFonts w:ascii="Source Sans Pro" w:eastAsia="Source Sans Pro" w:hAnsi="Source Sans Pro" w:cs="Source Sans Pro"/>
        </w:rPr>
        <w:t xml:space="preserve">going live </w:t>
      </w:r>
      <w:r w:rsidR="1ACC7A09" w:rsidRPr="551C3D9C">
        <w:rPr>
          <w:rFonts w:ascii="Source Sans Pro" w:eastAsia="Source Sans Pro" w:hAnsi="Source Sans Pro" w:cs="Source Sans Pro"/>
        </w:rPr>
        <w:t xml:space="preserve">in the Total Expert platform </w:t>
      </w:r>
      <w:r w:rsidR="05401F97" w:rsidRPr="551C3D9C">
        <w:rPr>
          <w:rFonts w:ascii="Source Sans Pro" w:eastAsia="Source Sans Pro" w:hAnsi="Source Sans Pro" w:cs="Source Sans Pro"/>
        </w:rPr>
        <w:t>Dec. 9</w:t>
      </w:r>
      <w:r w:rsidR="654221A2" w:rsidRPr="551C3D9C">
        <w:rPr>
          <w:rFonts w:ascii="Source Sans Pro" w:eastAsia="Source Sans Pro" w:hAnsi="Source Sans Pro" w:cs="Source Sans Pro"/>
        </w:rPr>
        <w:t>, 2020</w:t>
      </w:r>
      <w:r w:rsidR="05401F97" w:rsidRPr="551C3D9C">
        <w:rPr>
          <w:rFonts w:ascii="Source Sans Pro" w:eastAsia="Source Sans Pro" w:hAnsi="Source Sans Pro" w:cs="Source Sans Pro"/>
        </w:rPr>
        <w:t xml:space="preserve">. </w:t>
      </w:r>
      <w:r w:rsidR="5B8A4FEF" w:rsidRPr="551C3D9C">
        <w:rPr>
          <w:rFonts w:ascii="Source Sans Pro" w:eastAsia="Source Sans Pro" w:hAnsi="Source Sans Pro" w:cs="Source Sans Pro"/>
        </w:rPr>
        <w:t xml:space="preserve">This asset is </w:t>
      </w:r>
      <w:r w:rsidR="6D3C2599" w:rsidRPr="551C3D9C">
        <w:rPr>
          <w:rFonts w:ascii="Source Sans Pro" w:eastAsia="Source Sans Pro" w:hAnsi="Source Sans Pro" w:cs="Source Sans Pro"/>
        </w:rPr>
        <w:t xml:space="preserve">meant to be customized </w:t>
      </w:r>
      <w:r w:rsidR="37CF63DA" w:rsidRPr="551C3D9C">
        <w:rPr>
          <w:rFonts w:ascii="Source Sans Pro" w:eastAsia="Source Sans Pro" w:hAnsi="Source Sans Pro" w:cs="Source Sans Pro"/>
        </w:rPr>
        <w:t>and tailored to</w:t>
      </w:r>
      <w:r w:rsidR="6D3C2599" w:rsidRPr="551C3D9C">
        <w:rPr>
          <w:rFonts w:ascii="Source Sans Pro" w:eastAsia="Source Sans Pro" w:hAnsi="Source Sans Pro" w:cs="Source Sans Pro"/>
        </w:rPr>
        <w:t xml:space="preserve"> your organization </w:t>
      </w:r>
      <w:r w:rsidR="1CF9B9D6" w:rsidRPr="551C3D9C">
        <w:rPr>
          <w:rFonts w:ascii="Source Sans Pro" w:eastAsia="Source Sans Pro" w:hAnsi="Source Sans Pro" w:cs="Source Sans Pro"/>
        </w:rPr>
        <w:t>and</w:t>
      </w:r>
      <w:r w:rsidR="6D3C2599" w:rsidRPr="551C3D9C">
        <w:rPr>
          <w:rFonts w:ascii="Source Sans Pro" w:eastAsia="Source Sans Pro" w:hAnsi="Source Sans Pro" w:cs="Source Sans Pro"/>
        </w:rPr>
        <w:t xml:space="preserve"> repurposed for the various channels</w:t>
      </w:r>
      <w:r w:rsidR="14BF120F" w:rsidRPr="551C3D9C">
        <w:rPr>
          <w:rFonts w:ascii="Source Sans Pro" w:eastAsia="Source Sans Pro" w:hAnsi="Source Sans Pro" w:cs="Source Sans Pro"/>
        </w:rPr>
        <w:t xml:space="preserve"> you use to communicate software updates to your teams. </w:t>
      </w:r>
      <w:r w:rsidR="59681009" w:rsidRPr="551C3D9C">
        <w:rPr>
          <w:rFonts w:ascii="Source Sans Pro" w:eastAsia="Source Sans Pro" w:hAnsi="Source Sans Pro" w:cs="Source Sans Pro"/>
        </w:rPr>
        <w:t>As always,</w:t>
      </w:r>
      <w:r w:rsidR="3F270EAB" w:rsidRPr="551C3D9C">
        <w:rPr>
          <w:rFonts w:ascii="Source Sans Pro" w:eastAsia="Source Sans Pro" w:hAnsi="Source Sans Pro" w:cs="Source Sans Pro"/>
        </w:rPr>
        <w:t xml:space="preserve"> </w:t>
      </w:r>
      <w:r w:rsidR="59681009" w:rsidRPr="551C3D9C">
        <w:rPr>
          <w:rFonts w:ascii="Source Sans Pro" w:eastAsia="Source Sans Pro" w:hAnsi="Source Sans Pro" w:cs="Source Sans Pro"/>
        </w:rPr>
        <w:t>reach out to your CSM</w:t>
      </w:r>
      <w:r w:rsidR="703625B3" w:rsidRPr="551C3D9C">
        <w:rPr>
          <w:rFonts w:ascii="Source Sans Pro" w:eastAsia="Source Sans Pro" w:hAnsi="Source Sans Pro" w:cs="Source Sans Pro"/>
        </w:rPr>
        <w:t xml:space="preserve"> with any questions</w:t>
      </w:r>
      <w:r w:rsidR="59681009" w:rsidRPr="551C3D9C">
        <w:rPr>
          <w:rFonts w:ascii="Source Sans Pro" w:eastAsia="Source Sans Pro" w:hAnsi="Source Sans Pro" w:cs="Source Sans Pro"/>
        </w:rPr>
        <w:t xml:space="preserve">. </w:t>
      </w:r>
    </w:p>
    <w:p w14:paraId="080874A6" w14:textId="32A7B7ED" w:rsidR="00DB5394" w:rsidRDefault="2C986A22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</w:rPr>
        <w:t xml:space="preserve">You can find this and other adoption resources in the </w:t>
      </w:r>
      <w:hyperlink r:id="rId8">
        <w:r w:rsidRPr="551C3D9C">
          <w:rPr>
            <w:rStyle w:val="Hyperlink"/>
            <w:rFonts w:ascii="Source Sans Pro" w:eastAsia="Source Sans Pro" w:hAnsi="Source Sans Pro" w:cs="Source Sans Pro"/>
          </w:rPr>
          <w:t>Engagement Resource Center</w:t>
        </w:r>
      </w:hyperlink>
      <w:r w:rsidRPr="551C3D9C">
        <w:rPr>
          <w:rFonts w:ascii="Source Sans Pro" w:eastAsia="Source Sans Pro" w:hAnsi="Source Sans Pro" w:cs="Source Sans Pro"/>
        </w:rPr>
        <w:t>.</w:t>
      </w:r>
    </w:p>
    <w:p w14:paraId="05B83283" w14:textId="52EFF830" w:rsidR="00DB5394" w:rsidRDefault="5ADEE336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</w:rPr>
        <w:t xml:space="preserve">-------- </w:t>
      </w:r>
    </w:p>
    <w:p w14:paraId="2C078E63" w14:textId="71C353FA" w:rsidR="00DB5394" w:rsidRDefault="3F1F4245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  <w:b/>
          <w:bCs/>
          <w:color w:val="7030A0"/>
        </w:rPr>
        <w:t xml:space="preserve">SUBJECT LINE: </w:t>
      </w:r>
      <w:r w:rsidR="20129625" w:rsidRPr="551C3D9C">
        <w:rPr>
          <w:rFonts w:ascii="Source Sans Pro" w:eastAsia="Source Sans Pro" w:hAnsi="Source Sans Pro" w:cs="Source Sans Pro"/>
          <w:color w:val="7030A0"/>
        </w:rPr>
        <w:t>[</w:t>
      </w:r>
      <w:r w:rsidR="28EEDFCD" w:rsidRPr="551C3D9C">
        <w:rPr>
          <w:rFonts w:ascii="Source Sans Pro" w:eastAsia="Source Sans Pro" w:hAnsi="Source Sans Pro" w:cs="Source Sans Pro"/>
          <w:color w:val="7030A0"/>
        </w:rPr>
        <w:t>Total Expert</w:t>
      </w:r>
      <w:r w:rsidR="7973C479" w:rsidRPr="551C3D9C">
        <w:rPr>
          <w:rFonts w:ascii="Source Sans Pro" w:eastAsia="Source Sans Pro" w:hAnsi="Source Sans Pro" w:cs="Source Sans Pro"/>
          <w:color w:val="7030A0"/>
        </w:rPr>
        <w:t>]</w:t>
      </w:r>
      <w:r w:rsidR="28EEDFCD" w:rsidRPr="551C3D9C">
        <w:rPr>
          <w:rFonts w:ascii="Source Sans Pro" w:eastAsia="Source Sans Pro" w:hAnsi="Source Sans Pro" w:cs="Source Sans Pro"/>
          <w:color w:val="7030A0"/>
        </w:rPr>
        <w:t xml:space="preserve"> </w:t>
      </w:r>
      <w:r w:rsidR="28EEDFCD" w:rsidRPr="551C3D9C">
        <w:rPr>
          <w:rFonts w:ascii="Source Sans Pro" w:eastAsia="Source Sans Pro" w:hAnsi="Source Sans Pro" w:cs="Source Sans Pro"/>
        </w:rPr>
        <w:t xml:space="preserve">Product </w:t>
      </w:r>
      <w:r w:rsidR="63332B6D" w:rsidRPr="551C3D9C">
        <w:rPr>
          <w:rFonts w:ascii="Source Sans Pro" w:eastAsia="Source Sans Pro" w:hAnsi="Source Sans Pro" w:cs="Source Sans Pro"/>
        </w:rPr>
        <w:t>Enhancements</w:t>
      </w:r>
      <w:r w:rsidR="28EEDFCD" w:rsidRPr="551C3D9C">
        <w:rPr>
          <w:rFonts w:ascii="Source Sans Pro" w:eastAsia="Source Sans Pro" w:hAnsi="Source Sans Pro" w:cs="Source Sans Pro"/>
        </w:rPr>
        <w:t xml:space="preserve">: Shiny New Tools for LOs! </w:t>
      </w:r>
    </w:p>
    <w:p w14:paraId="10257E70" w14:textId="4124FCC4" w:rsidR="3F1F4245" w:rsidRDefault="3F1F4245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  <w:b/>
          <w:bCs/>
          <w:color w:val="7030A0"/>
        </w:rPr>
        <w:t>HEADLINE:</w:t>
      </w:r>
      <w:r w:rsidR="7DBD2B4B" w:rsidRPr="551C3D9C">
        <w:rPr>
          <w:rFonts w:ascii="Source Sans Pro" w:eastAsia="Source Sans Pro" w:hAnsi="Source Sans Pro" w:cs="Source Sans Pro"/>
          <w:b/>
          <w:bCs/>
          <w:color w:val="7030A0"/>
        </w:rPr>
        <w:t xml:space="preserve"> </w:t>
      </w:r>
      <w:r w:rsidR="731C0E17" w:rsidRPr="551C3D9C">
        <w:rPr>
          <w:rFonts w:ascii="Source Sans Pro" w:eastAsia="Source Sans Pro" w:hAnsi="Source Sans Pro" w:cs="Source Sans Pro"/>
        </w:rPr>
        <w:t>The latest</w:t>
      </w:r>
      <w:r w:rsidR="731C0E17" w:rsidRPr="551C3D9C">
        <w:rPr>
          <w:rFonts w:ascii="Source Sans Pro" w:eastAsia="Source Sans Pro" w:hAnsi="Source Sans Pro" w:cs="Source Sans Pro"/>
          <w:color w:val="66E8AD"/>
        </w:rPr>
        <w:t xml:space="preserve"> </w:t>
      </w:r>
      <w:r w:rsidR="731C0E17" w:rsidRPr="551C3D9C">
        <w:rPr>
          <w:rFonts w:ascii="Source Sans Pro" w:eastAsia="Source Sans Pro" w:hAnsi="Source Sans Pro" w:cs="Source Sans Pro"/>
          <w:color w:val="7030A0"/>
        </w:rPr>
        <w:t xml:space="preserve">[Total Expert] </w:t>
      </w:r>
      <w:r w:rsidR="20119963" w:rsidRPr="551C3D9C">
        <w:rPr>
          <w:rFonts w:ascii="Source Sans Pro" w:eastAsia="Source Sans Pro" w:hAnsi="Source Sans Pro" w:cs="Source Sans Pro"/>
        </w:rPr>
        <w:t>p</w:t>
      </w:r>
      <w:r w:rsidR="731C0E17" w:rsidRPr="551C3D9C">
        <w:rPr>
          <w:rFonts w:ascii="Source Sans Pro" w:eastAsia="Source Sans Pro" w:hAnsi="Source Sans Pro" w:cs="Source Sans Pro"/>
        </w:rPr>
        <w:t xml:space="preserve">roduct </w:t>
      </w:r>
      <w:r w:rsidR="676EE083" w:rsidRPr="551C3D9C">
        <w:rPr>
          <w:rFonts w:ascii="Source Sans Pro" w:eastAsia="Source Sans Pro" w:hAnsi="Source Sans Pro" w:cs="Source Sans Pro"/>
        </w:rPr>
        <w:t>e</w:t>
      </w:r>
      <w:r w:rsidR="731C0E17" w:rsidRPr="551C3D9C">
        <w:rPr>
          <w:rFonts w:ascii="Source Sans Pro" w:eastAsia="Source Sans Pro" w:hAnsi="Source Sans Pro" w:cs="Source Sans Pro"/>
        </w:rPr>
        <w:t xml:space="preserve">nhancements are </w:t>
      </w:r>
      <w:r w:rsidR="1766D721" w:rsidRPr="551C3D9C">
        <w:rPr>
          <w:rFonts w:ascii="Source Sans Pro" w:eastAsia="Source Sans Pro" w:hAnsi="Source Sans Pro" w:cs="Source Sans Pro"/>
        </w:rPr>
        <w:t>l</w:t>
      </w:r>
      <w:r w:rsidR="731C0E17" w:rsidRPr="551C3D9C">
        <w:rPr>
          <w:rFonts w:ascii="Source Sans Pro" w:eastAsia="Source Sans Pro" w:hAnsi="Source Sans Pro" w:cs="Source Sans Pro"/>
        </w:rPr>
        <w:t>ive</w:t>
      </w:r>
      <w:r w:rsidR="68BD71C9" w:rsidRPr="551C3D9C">
        <w:rPr>
          <w:rFonts w:ascii="Source Sans Pro" w:eastAsia="Source Sans Pro" w:hAnsi="Source Sans Pro" w:cs="Source Sans Pro"/>
        </w:rPr>
        <w:t>!</w:t>
      </w:r>
      <w:r w:rsidR="731C0E17" w:rsidRPr="551C3D9C">
        <w:rPr>
          <w:rFonts w:ascii="Source Sans Pro" w:eastAsia="Source Sans Pro" w:hAnsi="Source Sans Pro" w:cs="Source Sans Pro"/>
        </w:rPr>
        <w:t xml:space="preserve"> </w:t>
      </w:r>
    </w:p>
    <w:p w14:paraId="598BACD5" w14:textId="03D0796F" w:rsidR="26782FC7" w:rsidRDefault="26782FC7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  <w:b/>
          <w:bCs/>
          <w:color w:val="7030A0"/>
        </w:rPr>
        <w:t>SUBHEAD:</w:t>
      </w:r>
      <w:r w:rsidRPr="551C3D9C">
        <w:rPr>
          <w:rFonts w:ascii="Source Sans Pro" w:eastAsia="Source Sans Pro" w:hAnsi="Source Sans Pro" w:cs="Source Sans Pro"/>
          <w:b/>
          <w:bCs/>
          <w:color w:val="0070C0"/>
        </w:rPr>
        <w:t xml:space="preserve"> </w:t>
      </w:r>
      <w:r w:rsidR="3E09EDEF" w:rsidRPr="551C3D9C">
        <w:rPr>
          <w:rFonts w:ascii="Source Sans Pro" w:eastAsia="Source Sans Pro" w:hAnsi="Source Sans Pro" w:cs="Source Sans Pro"/>
        </w:rPr>
        <w:t xml:space="preserve">Take advantage of new features specifically </w:t>
      </w:r>
      <w:r w:rsidR="53BE0222" w:rsidRPr="551C3D9C">
        <w:rPr>
          <w:rFonts w:ascii="Source Sans Pro" w:eastAsia="Source Sans Pro" w:hAnsi="Source Sans Pro" w:cs="Source Sans Pro"/>
        </w:rPr>
        <w:t>bui</w:t>
      </w:r>
      <w:r w:rsidR="17D56DD2" w:rsidRPr="551C3D9C">
        <w:rPr>
          <w:rFonts w:ascii="Source Sans Pro" w:eastAsia="Source Sans Pro" w:hAnsi="Source Sans Pro" w:cs="Source Sans Pro"/>
        </w:rPr>
        <w:t>lt to help you be more efficient, close more loans, and create lifelong customer relationships</w:t>
      </w:r>
      <w:r w:rsidR="582C447C" w:rsidRPr="551C3D9C">
        <w:rPr>
          <w:rFonts w:ascii="Source Sans Pro" w:eastAsia="Source Sans Pro" w:hAnsi="Source Sans Pro" w:cs="Source Sans Pro"/>
        </w:rPr>
        <w:t>.</w:t>
      </w:r>
    </w:p>
    <w:p w14:paraId="76868B1F" w14:textId="194FE4F3" w:rsidR="7DBD2B4B" w:rsidRDefault="7DBD2B4B" w:rsidP="551C3D9C">
      <w:pPr>
        <w:rPr>
          <w:rFonts w:ascii="Source Sans Pro" w:eastAsia="Source Sans Pro" w:hAnsi="Source Sans Pro" w:cs="Source Sans Pro"/>
          <w:b/>
          <w:bCs/>
          <w:color w:val="7030A0"/>
        </w:rPr>
      </w:pPr>
      <w:r w:rsidRPr="551C3D9C">
        <w:rPr>
          <w:rFonts w:ascii="Source Sans Pro" w:eastAsia="Source Sans Pro" w:hAnsi="Source Sans Pro" w:cs="Source Sans Pro"/>
          <w:b/>
          <w:bCs/>
          <w:color w:val="7030A0"/>
        </w:rPr>
        <w:t>BODY</w:t>
      </w:r>
      <w:r w:rsidR="7FB6564C" w:rsidRPr="551C3D9C">
        <w:rPr>
          <w:rFonts w:ascii="Source Sans Pro" w:eastAsia="Source Sans Pro" w:hAnsi="Source Sans Pro" w:cs="Source Sans Pro"/>
          <w:b/>
          <w:bCs/>
          <w:color w:val="7030A0"/>
        </w:rPr>
        <w:t>:</w:t>
      </w:r>
    </w:p>
    <w:p w14:paraId="2B87FC83" w14:textId="03B1C5A0" w:rsidR="34ED21EE" w:rsidRDefault="34ED21EE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  <w:b/>
          <w:bCs/>
        </w:rPr>
        <w:t xml:space="preserve">Listing Insights </w:t>
      </w:r>
      <w:r>
        <w:br/>
      </w:r>
      <w:r w:rsidR="1602A0E3" w:rsidRPr="551C3D9C">
        <w:rPr>
          <w:rFonts w:ascii="Source Sans Pro" w:eastAsia="Source Sans Pro" w:hAnsi="Source Sans Pro" w:cs="Source Sans Pro"/>
        </w:rPr>
        <w:t xml:space="preserve">Never miss an opportunity for repeat business with Listing Insights. </w:t>
      </w:r>
      <w:r w:rsidRPr="551C3D9C">
        <w:rPr>
          <w:rFonts w:ascii="Source Sans Pro" w:eastAsia="Source Sans Pro" w:hAnsi="Source Sans Pro" w:cs="Source Sans Pro"/>
        </w:rPr>
        <w:t>Listing Insights is a new data point within</w:t>
      </w:r>
      <w:r w:rsidR="37A25AC9" w:rsidRPr="551C3D9C">
        <w:rPr>
          <w:rFonts w:ascii="Source Sans Pro" w:eastAsia="Source Sans Pro" w:hAnsi="Source Sans Pro" w:cs="Source Sans Pro"/>
        </w:rPr>
        <w:t xml:space="preserve"> the</w:t>
      </w:r>
      <w:r w:rsidRPr="551C3D9C">
        <w:rPr>
          <w:rFonts w:ascii="Source Sans Pro" w:eastAsia="Source Sans Pro" w:hAnsi="Source Sans Pro" w:cs="Source Sans Pro"/>
        </w:rPr>
        <w:t xml:space="preserve"> </w:t>
      </w:r>
      <w:r w:rsidR="3866A2AD" w:rsidRPr="551C3D9C">
        <w:rPr>
          <w:rFonts w:ascii="Source Sans Pro" w:eastAsia="Source Sans Pro" w:hAnsi="Source Sans Pro" w:cs="Source Sans Pro"/>
          <w:color w:val="7030A0"/>
        </w:rPr>
        <w:t>[</w:t>
      </w:r>
      <w:r w:rsidRPr="551C3D9C">
        <w:rPr>
          <w:rFonts w:ascii="Source Sans Pro" w:eastAsia="Source Sans Pro" w:hAnsi="Source Sans Pro" w:cs="Source Sans Pro"/>
          <w:color w:val="7030A0"/>
        </w:rPr>
        <w:t>Total Expert</w:t>
      </w:r>
      <w:r w:rsidR="0C260FF8" w:rsidRPr="551C3D9C">
        <w:rPr>
          <w:rFonts w:ascii="Source Sans Pro" w:eastAsia="Source Sans Pro" w:hAnsi="Source Sans Pro" w:cs="Source Sans Pro"/>
          <w:color w:val="7030A0"/>
        </w:rPr>
        <w:t>]</w:t>
      </w:r>
      <w:r w:rsidRPr="551C3D9C">
        <w:rPr>
          <w:rFonts w:ascii="Source Sans Pro" w:eastAsia="Source Sans Pro" w:hAnsi="Source Sans Pro" w:cs="Source Sans Pro"/>
          <w:color w:val="66E8AD"/>
        </w:rPr>
        <w:t xml:space="preserve"> </w:t>
      </w:r>
      <w:r w:rsidR="243E88A6" w:rsidRPr="551C3D9C">
        <w:rPr>
          <w:rFonts w:ascii="Source Sans Pro" w:eastAsia="Source Sans Pro" w:hAnsi="Source Sans Pro" w:cs="Source Sans Pro"/>
        </w:rPr>
        <w:t xml:space="preserve">contact details page </w:t>
      </w:r>
      <w:r w:rsidRPr="551C3D9C">
        <w:rPr>
          <w:rFonts w:ascii="Source Sans Pro" w:eastAsia="Source Sans Pro" w:hAnsi="Source Sans Pro" w:cs="Source Sans Pro"/>
        </w:rPr>
        <w:t xml:space="preserve">that shows if </w:t>
      </w:r>
      <w:r w:rsidR="7E17C6F4" w:rsidRPr="551C3D9C">
        <w:rPr>
          <w:rFonts w:ascii="Source Sans Pro" w:eastAsia="Source Sans Pro" w:hAnsi="Source Sans Pro" w:cs="Source Sans Pro"/>
        </w:rPr>
        <w:t>your past borrower</w:t>
      </w:r>
      <w:r w:rsidRPr="551C3D9C">
        <w:rPr>
          <w:rFonts w:ascii="Source Sans Pro" w:eastAsia="Source Sans Pro" w:hAnsi="Source Sans Pro" w:cs="Source Sans Pro"/>
        </w:rPr>
        <w:t xml:space="preserve"> has listed a property for sale on the MLS in the last 7 days.</w:t>
      </w:r>
      <w:r w:rsidR="51BCAD1B" w:rsidRPr="551C3D9C">
        <w:rPr>
          <w:rFonts w:ascii="Source Sans Pro" w:eastAsia="Source Sans Pro" w:hAnsi="Source Sans Pro" w:cs="Source Sans Pro"/>
        </w:rPr>
        <w:t xml:space="preserve"> </w:t>
      </w:r>
    </w:p>
    <w:p w14:paraId="1323047E" w14:textId="2E0BA2B3" w:rsidR="03FBA66E" w:rsidRDefault="03FBA66E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</w:rPr>
        <w:t>W</w:t>
      </w:r>
      <w:r w:rsidR="51BCAD1B" w:rsidRPr="551C3D9C">
        <w:rPr>
          <w:rFonts w:ascii="Source Sans Pro" w:eastAsia="Source Sans Pro" w:hAnsi="Source Sans Pro" w:cs="Source Sans Pro"/>
        </w:rPr>
        <w:t xml:space="preserve">e’ve made it easy </w:t>
      </w:r>
      <w:r w:rsidR="04245C88" w:rsidRPr="551C3D9C">
        <w:rPr>
          <w:rFonts w:ascii="Source Sans Pro" w:eastAsia="Source Sans Pro" w:hAnsi="Source Sans Pro" w:cs="Source Sans Pro"/>
        </w:rPr>
        <w:t xml:space="preserve">to know when your past clients are in the market for a new mortgage </w:t>
      </w:r>
      <w:r w:rsidR="51BCAD1B" w:rsidRPr="551C3D9C">
        <w:rPr>
          <w:rFonts w:ascii="Source Sans Pro" w:eastAsia="Source Sans Pro" w:hAnsi="Source Sans Pro" w:cs="Source Sans Pro"/>
        </w:rPr>
        <w:t xml:space="preserve">by giving you a Focused </w:t>
      </w:r>
      <w:r w:rsidR="38586993" w:rsidRPr="551C3D9C">
        <w:rPr>
          <w:rFonts w:ascii="Source Sans Pro" w:eastAsia="Source Sans Pro" w:hAnsi="Source Sans Pro" w:cs="Source Sans Pro"/>
        </w:rPr>
        <w:t>View of contacts with Listing Insights</w:t>
      </w:r>
      <w:r w:rsidR="2104942F" w:rsidRPr="551C3D9C">
        <w:rPr>
          <w:rFonts w:ascii="Source Sans Pro" w:eastAsia="Source Sans Pro" w:hAnsi="Source Sans Pro" w:cs="Source Sans Pro"/>
        </w:rPr>
        <w:t>. We’ve al</w:t>
      </w:r>
      <w:r w:rsidR="53607EBA" w:rsidRPr="551C3D9C">
        <w:rPr>
          <w:rFonts w:ascii="Source Sans Pro" w:eastAsia="Source Sans Pro" w:hAnsi="Source Sans Pro" w:cs="Source Sans Pro"/>
        </w:rPr>
        <w:t>so</w:t>
      </w:r>
      <w:r w:rsidR="2104942F" w:rsidRPr="551C3D9C">
        <w:rPr>
          <w:rFonts w:ascii="Source Sans Pro" w:eastAsia="Source Sans Pro" w:hAnsi="Source Sans Pro" w:cs="Source Sans Pro"/>
        </w:rPr>
        <w:t xml:space="preserve"> </w:t>
      </w:r>
      <w:r w:rsidR="38586993" w:rsidRPr="551C3D9C">
        <w:rPr>
          <w:rFonts w:ascii="Source Sans Pro" w:eastAsia="Source Sans Pro" w:hAnsi="Source Sans Pro" w:cs="Source Sans Pro"/>
        </w:rPr>
        <w:t xml:space="preserve">set up a Journey that will </w:t>
      </w:r>
      <w:r w:rsidR="5DA2222F" w:rsidRPr="551C3D9C">
        <w:rPr>
          <w:rFonts w:ascii="Source Sans Pro" w:eastAsia="Source Sans Pro" w:hAnsi="Source Sans Pro" w:cs="Source Sans Pro"/>
        </w:rPr>
        <w:t>automatically</w:t>
      </w:r>
      <w:r w:rsidR="38586993" w:rsidRPr="551C3D9C">
        <w:rPr>
          <w:rFonts w:ascii="Source Sans Pro" w:eastAsia="Source Sans Pro" w:hAnsi="Source Sans Pro" w:cs="Source Sans Pro"/>
        </w:rPr>
        <w:t xml:space="preserve"> send out an email </w:t>
      </w:r>
      <w:r w:rsidR="56F869E1" w:rsidRPr="551C3D9C">
        <w:rPr>
          <w:rFonts w:ascii="Source Sans Pro" w:eastAsia="Source Sans Pro" w:hAnsi="Source Sans Pro" w:cs="Source Sans Pro"/>
        </w:rPr>
        <w:t>on your</w:t>
      </w:r>
      <w:r w:rsidR="38586993" w:rsidRPr="551C3D9C">
        <w:rPr>
          <w:rFonts w:ascii="Source Sans Pro" w:eastAsia="Source Sans Pro" w:hAnsi="Source Sans Pro" w:cs="Source Sans Pro"/>
        </w:rPr>
        <w:t xml:space="preserve"> </w:t>
      </w:r>
      <w:r w:rsidR="56F869E1" w:rsidRPr="551C3D9C">
        <w:rPr>
          <w:rFonts w:ascii="Source Sans Pro" w:eastAsia="Source Sans Pro" w:hAnsi="Source Sans Pro" w:cs="Source Sans Pro"/>
        </w:rPr>
        <w:t>behalf when your past client lists their home</w:t>
      </w:r>
      <w:r w:rsidR="63CC1473" w:rsidRPr="551C3D9C">
        <w:rPr>
          <w:rFonts w:ascii="Source Sans Pro" w:eastAsia="Source Sans Pro" w:hAnsi="Source Sans Pro" w:cs="Source Sans Pro"/>
        </w:rPr>
        <w:t xml:space="preserve">. </w:t>
      </w:r>
    </w:p>
    <w:p w14:paraId="0DAF2F87" w14:textId="47129D18" w:rsidR="0B9ECD88" w:rsidRDefault="0B9ECD88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</w:rPr>
        <w:t>Don’t miss out on repeat business</w:t>
      </w:r>
      <w:r w:rsidR="3DD5F966" w:rsidRPr="551C3D9C">
        <w:rPr>
          <w:rFonts w:ascii="Source Sans Pro" w:eastAsia="Source Sans Pro" w:hAnsi="Source Sans Pro" w:cs="Source Sans Pro"/>
        </w:rPr>
        <w:t>—</w:t>
      </w:r>
      <w:r w:rsidR="746B8F89" w:rsidRPr="551C3D9C">
        <w:rPr>
          <w:rFonts w:ascii="Source Sans Pro" w:eastAsia="Source Sans Pro" w:hAnsi="Source Sans Pro" w:cs="Source Sans Pro"/>
        </w:rPr>
        <w:t>Be sure to check your Focused View daily and opt-in to the</w:t>
      </w:r>
      <w:r w:rsidR="12E71976" w:rsidRPr="551C3D9C">
        <w:rPr>
          <w:rFonts w:ascii="Source Sans Pro" w:eastAsia="Source Sans Pro" w:hAnsi="Source Sans Pro" w:cs="Source Sans Pro"/>
        </w:rPr>
        <w:t xml:space="preserve"> Listing Insights</w:t>
      </w:r>
      <w:r w:rsidR="746B8F89" w:rsidRPr="551C3D9C">
        <w:rPr>
          <w:rFonts w:ascii="Source Sans Pro" w:eastAsia="Source Sans Pro" w:hAnsi="Source Sans Pro" w:cs="Source Sans Pro"/>
        </w:rPr>
        <w:t xml:space="preserve"> Journey</w:t>
      </w:r>
      <w:r w:rsidR="1E4E5E92" w:rsidRPr="551C3D9C">
        <w:rPr>
          <w:rFonts w:ascii="Source Sans Pro" w:eastAsia="Source Sans Pro" w:hAnsi="Source Sans Pro" w:cs="Source Sans Pro"/>
        </w:rPr>
        <w:t>!</w:t>
      </w:r>
    </w:p>
    <w:p w14:paraId="70447522" w14:textId="771BFE4B" w:rsidR="3BFAE006" w:rsidRDefault="007C6D49" w:rsidP="590CF0C6">
      <w:pPr>
        <w:rPr>
          <w:rFonts w:ascii="Source Sans Pro" w:eastAsia="Source Sans Pro" w:hAnsi="Source Sans Pro" w:cs="Source Sans Pro"/>
          <w:highlight w:val="yellow"/>
        </w:rPr>
      </w:pPr>
      <w:hyperlink r:id="rId9">
        <w:r w:rsidR="3BFAE006" w:rsidRPr="590CF0C6">
          <w:rPr>
            <w:rStyle w:val="Hyperlink"/>
            <w:rFonts w:ascii="Source Sans Pro" w:eastAsia="Source Sans Pro" w:hAnsi="Source Sans Pro" w:cs="Source Sans Pro"/>
          </w:rPr>
          <w:t>Loan Officer’s Listing Insights Checklist</w:t>
        </w:r>
      </w:hyperlink>
    </w:p>
    <w:p w14:paraId="0B5C96FE" w14:textId="68B57E77" w:rsidR="1D3D5203" w:rsidRDefault="1D3D5203" w:rsidP="551C3D9C">
      <w:pPr>
        <w:rPr>
          <w:rFonts w:ascii="Source Sans Pro" w:eastAsia="Source Sans Pro" w:hAnsi="Source Sans Pro" w:cs="Source Sans Pro"/>
          <w:color w:val="7030A0"/>
        </w:rPr>
      </w:pPr>
      <w:r w:rsidRPr="551C3D9C">
        <w:rPr>
          <w:rFonts w:ascii="Source Sans Pro" w:eastAsia="Source Sans Pro" w:hAnsi="Source Sans Pro" w:cs="Source Sans Pro"/>
          <w:b/>
          <w:bCs/>
          <w:color w:val="7030A0"/>
        </w:rPr>
        <w:t>*</w:t>
      </w:r>
      <w:r w:rsidR="61C69E44" w:rsidRPr="551C3D9C">
        <w:rPr>
          <w:rFonts w:ascii="Source Sans Pro" w:eastAsia="Source Sans Pro" w:hAnsi="Source Sans Pro" w:cs="Source Sans Pro"/>
          <w:b/>
          <w:bCs/>
          <w:color w:val="7030A0"/>
        </w:rPr>
        <w:t xml:space="preserve">Admin </w:t>
      </w:r>
      <w:r w:rsidRPr="551C3D9C">
        <w:rPr>
          <w:rFonts w:ascii="Source Sans Pro" w:eastAsia="Source Sans Pro" w:hAnsi="Source Sans Pro" w:cs="Source Sans Pro"/>
          <w:b/>
          <w:bCs/>
          <w:color w:val="7030A0"/>
        </w:rPr>
        <w:t xml:space="preserve">Note: </w:t>
      </w:r>
      <w:r w:rsidRPr="551C3D9C">
        <w:rPr>
          <w:rFonts w:ascii="Source Sans Pro" w:eastAsia="Source Sans Pro" w:hAnsi="Source Sans Pro" w:cs="Source Sans Pro"/>
          <w:color w:val="7030A0"/>
        </w:rPr>
        <w:t>Listing Insights is available upon request through your CSM. It will not automatically be turned on for your users. Once you have the permission enabled, set up a Listing Insights Focused View and the pre-built best practice Journey to ensure LOs receive value.</w:t>
      </w:r>
    </w:p>
    <w:p w14:paraId="4BB9D599" w14:textId="19951F46" w:rsidR="23ED2A82" w:rsidRDefault="23ED2A82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  <w:b/>
          <w:bCs/>
        </w:rPr>
        <w:t>Enhanced</w:t>
      </w:r>
      <w:r w:rsidR="168210C5" w:rsidRPr="551C3D9C">
        <w:rPr>
          <w:rFonts w:ascii="Source Sans Pro" w:eastAsia="Source Sans Pro" w:hAnsi="Source Sans Pro" w:cs="Source Sans Pro"/>
          <w:b/>
          <w:bCs/>
        </w:rPr>
        <w:t xml:space="preserve"> S</w:t>
      </w:r>
      <w:r w:rsidR="1D3D5203" w:rsidRPr="551C3D9C">
        <w:rPr>
          <w:rFonts w:ascii="Source Sans Pro" w:eastAsia="Source Sans Pro" w:hAnsi="Source Sans Pro" w:cs="Source Sans Pro"/>
          <w:b/>
          <w:bCs/>
        </w:rPr>
        <w:t>impleNexus Integration</w:t>
      </w:r>
      <w:r>
        <w:br/>
      </w:r>
      <w:r w:rsidR="4C9C9531" w:rsidRPr="551C3D9C">
        <w:rPr>
          <w:rFonts w:ascii="Source Sans Pro" w:eastAsia="Source Sans Pro" w:hAnsi="Source Sans Pro" w:cs="Source Sans Pro"/>
        </w:rPr>
        <w:t xml:space="preserve">We've upgraded our integration between </w:t>
      </w:r>
      <w:r w:rsidR="4C9C9531" w:rsidRPr="551C3D9C">
        <w:rPr>
          <w:rFonts w:ascii="Source Sans Pro" w:eastAsia="Source Sans Pro" w:hAnsi="Source Sans Pro" w:cs="Source Sans Pro"/>
          <w:color w:val="7030A0"/>
        </w:rPr>
        <w:t>[Total Expert]</w:t>
      </w:r>
      <w:r w:rsidR="035746BA" w:rsidRPr="551C3D9C">
        <w:rPr>
          <w:rFonts w:ascii="Source Sans Pro" w:eastAsia="Source Sans Pro" w:hAnsi="Source Sans Pro" w:cs="Source Sans Pro"/>
        </w:rPr>
        <w:t xml:space="preserve"> and SimpleNexus to a two-way sync </w:t>
      </w:r>
      <w:r w:rsidR="20F65B15" w:rsidRPr="551C3D9C">
        <w:rPr>
          <w:rFonts w:ascii="Source Sans Pro" w:eastAsia="Source Sans Pro" w:hAnsi="Source Sans Pro" w:cs="Source Sans Pro"/>
        </w:rPr>
        <w:t>so contact</w:t>
      </w:r>
      <w:r w:rsidR="1606D7C4" w:rsidRPr="551C3D9C">
        <w:rPr>
          <w:rFonts w:ascii="Source Sans Pro" w:eastAsia="Source Sans Pro" w:hAnsi="Source Sans Pro" w:cs="Source Sans Pro"/>
        </w:rPr>
        <w:t xml:space="preserve"> and application data </w:t>
      </w:r>
      <w:r w:rsidR="72AA8A6F" w:rsidRPr="551C3D9C">
        <w:rPr>
          <w:rFonts w:ascii="Source Sans Pro" w:eastAsia="Source Sans Pro" w:hAnsi="Source Sans Pro" w:cs="Source Sans Pro"/>
        </w:rPr>
        <w:t xml:space="preserve">will be </w:t>
      </w:r>
      <w:r w:rsidR="1606D7C4" w:rsidRPr="551C3D9C">
        <w:rPr>
          <w:rFonts w:ascii="Source Sans Pro" w:eastAsia="Source Sans Pro" w:hAnsi="Source Sans Pro" w:cs="Source Sans Pro"/>
        </w:rPr>
        <w:t xml:space="preserve">consistent across both systems. </w:t>
      </w:r>
      <w:r w:rsidR="7577C76F" w:rsidRPr="551C3D9C">
        <w:rPr>
          <w:rFonts w:ascii="Source Sans Pro" w:eastAsia="Source Sans Pro" w:hAnsi="Source Sans Pro" w:cs="Source Sans Pro"/>
        </w:rPr>
        <w:t>You can also</w:t>
      </w:r>
      <w:r w:rsidR="35DF1FF8" w:rsidRPr="551C3D9C">
        <w:rPr>
          <w:rFonts w:ascii="Source Sans Pro" w:eastAsia="Source Sans Pro" w:hAnsi="Source Sans Pro" w:cs="Source Sans Pro"/>
        </w:rPr>
        <w:t xml:space="preserve"> now</w:t>
      </w:r>
      <w:r w:rsidR="7066B29F" w:rsidRPr="551C3D9C">
        <w:rPr>
          <w:rFonts w:ascii="Source Sans Pro" w:eastAsia="Source Sans Pro" w:hAnsi="Source Sans Pro" w:cs="Source Sans Pro"/>
        </w:rPr>
        <w:t xml:space="preserve"> </w:t>
      </w:r>
      <w:r w:rsidR="02BB6AF9" w:rsidRPr="551C3D9C">
        <w:rPr>
          <w:rFonts w:ascii="Source Sans Pro" w:eastAsia="Source Sans Pro" w:hAnsi="Source Sans Pro" w:cs="Source Sans Pro"/>
        </w:rPr>
        <w:t xml:space="preserve">view SimpleNexus milestone data in contact records in </w:t>
      </w:r>
      <w:r w:rsidR="02BB6AF9" w:rsidRPr="551C3D9C">
        <w:rPr>
          <w:rFonts w:ascii="Source Sans Pro" w:eastAsia="Source Sans Pro" w:hAnsi="Source Sans Pro" w:cs="Source Sans Pro"/>
          <w:color w:val="7030A0"/>
        </w:rPr>
        <w:t>[Total Expert]</w:t>
      </w:r>
      <w:r w:rsidR="02BB6AF9" w:rsidRPr="551C3D9C">
        <w:rPr>
          <w:rFonts w:ascii="Source Sans Pro" w:eastAsia="Source Sans Pro" w:hAnsi="Source Sans Pro" w:cs="Source Sans Pro"/>
          <w:color w:val="66E8AD"/>
        </w:rPr>
        <w:t xml:space="preserve"> </w:t>
      </w:r>
      <w:r w:rsidR="02BB6AF9" w:rsidRPr="551C3D9C">
        <w:rPr>
          <w:rFonts w:ascii="Source Sans Pro" w:eastAsia="Source Sans Pro" w:hAnsi="Source Sans Pro" w:cs="Source Sans Pro"/>
        </w:rPr>
        <w:t xml:space="preserve">under Groups. </w:t>
      </w:r>
    </w:p>
    <w:p w14:paraId="70856B3D" w14:textId="2BE8375F" w:rsidR="02BB6AF9" w:rsidRDefault="02BB6AF9" w:rsidP="551C3D9C">
      <w:pPr>
        <w:rPr>
          <w:rFonts w:ascii="Source Sans Pro" w:eastAsia="Source Sans Pro" w:hAnsi="Source Sans Pro" w:cs="Source Sans Pro"/>
          <w:color w:val="7030A0"/>
        </w:rPr>
      </w:pPr>
      <w:r w:rsidRPr="551C3D9C">
        <w:rPr>
          <w:rFonts w:ascii="Source Sans Pro" w:eastAsia="Source Sans Pro" w:hAnsi="Source Sans Pro" w:cs="Source Sans Pro"/>
          <w:color w:val="7030A0"/>
        </w:rPr>
        <w:t>*</w:t>
      </w:r>
      <w:r w:rsidR="615DCB2A" w:rsidRPr="551C3D9C">
        <w:rPr>
          <w:rFonts w:ascii="Source Sans Pro" w:eastAsia="Source Sans Pro" w:hAnsi="Source Sans Pro" w:cs="Source Sans Pro"/>
          <w:b/>
          <w:bCs/>
          <w:color w:val="7030A0"/>
        </w:rPr>
        <w:t>Admin</w:t>
      </w:r>
      <w:r w:rsidR="615DCB2A" w:rsidRPr="551C3D9C">
        <w:rPr>
          <w:rFonts w:ascii="Source Sans Pro" w:eastAsia="Source Sans Pro" w:hAnsi="Source Sans Pro" w:cs="Source Sans Pro"/>
          <w:color w:val="7030A0"/>
        </w:rPr>
        <w:t xml:space="preserve"> </w:t>
      </w:r>
      <w:r w:rsidRPr="551C3D9C">
        <w:rPr>
          <w:rFonts w:ascii="Source Sans Pro" w:eastAsia="Source Sans Pro" w:hAnsi="Source Sans Pro" w:cs="Source Sans Pro"/>
          <w:b/>
          <w:bCs/>
          <w:color w:val="7030A0"/>
        </w:rPr>
        <w:t xml:space="preserve">Note: </w:t>
      </w:r>
      <w:r w:rsidR="6A082729" w:rsidRPr="551C3D9C">
        <w:rPr>
          <w:rFonts w:ascii="Source Sans Pro" w:eastAsia="Source Sans Pro" w:hAnsi="Source Sans Pro" w:cs="Source Sans Pro"/>
          <w:color w:val="7030A0"/>
        </w:rPr>
        <w:t>The New SimpleNexus Integration is available if you’re currently using SimpleNexus a</w:t>
      </w:r>
      <w:r w:rsidR="77656B1E" w:rsidRPr="551C3D9C">
        <w:rPr>
          <w:rFonts w:ascii="Source Sans Pro" w:eastAsia="Source Sans Pro" w:hAnsi="Source Sans Pro" w:cs="Source Sans Pro"/>
          <w:color w:val="7030A0"/>
        </w:rPr>
        <w:t>nd</w:t>
      </w:r>
      <w:r w:rsidR="6A082729" w:rsidRPr="551C3D9C">
        <w:rPr>
          <w:rFonts w:ascii="Source Sans Pro" w:eastAsia="Source Sans Pro" w:hAnsi="Source Sans Pro" w:cs="Source Sans Pro"/>
          <w:color w:val="7030A0"/>
        </w:rPr>
        <w:t xml:space="preserve"> API access has been grated through your scope of work</w:t>
      </w:r>
      <w:r w:rsidR="238057E0" w:rsidRPr="551C3D9C">
        <w:rPr>
          <w:rFonts w:ascii="Source Sans Pro" w:eastAsia="Source Sans Pro" w:hAnsi="Source Sans Pro" w:cs="Source Sans Pro"/>
          <w:color w:val="7030A0"/>
        </w:rPr>
        <w:t>. Contact your customer success manager with questions.</w:t>
      </w:r>
    </w:p>
    <w:p w14:paraId="025A977C" w14:textId="3795DB64" w:rsidR="1E798144" w:rsidRDefault="1E798144" w:rsidP="551C3D9C">
      <w:pPr>
        <w:rPr>
          <w:rFonts w:ascii="Source Sans Pro" w:eastAsia="Source Sans Pro" w:hAnsi="Source Sans Pro" w:cs="Source Sans Pro"/>
          <w:b/>
          <w:bCs/>
        </w:rPr>
      </w:pPr>
      <w:r w:rsidRPr="551C3D9C">
        <w:rPr>
          <w:rFonts w:ascii="Source Sans Pro" w:eastAsia="Source Sans Pro" w:hAnsi="Source Sans Pro" w:cs="Source Sans Pro"/>
          <w:b/>
          <w:bCs/>
        </w:rPr>
        <w:lastRenderedPageBreak/>
        <w:t>New Training and Product Resources</w:t>
      </w:r>
      <w:r>
        <w:br/>
      </w:r>
      <w:r w:rsidR="0A14EE83" w:rsidRPr="551C3D9C">
        <w:rPr>
          <w:rFonts w:ascii="Source Sans Pro" w:eastAsia="Source Sans Pro" w:hAnsi="Source Sans Pro" w:cs="Source Sans Pro"/>
        </w:rPr>
        <w:t>There are two new Total Expert training resources</w:t>
      </w:r>
      <w:r w:rsidR="4A07F675" w:rsidRPr="551C3D9C">
        <w:rPr>
          <w:rFonts w:ascii="Source Sans Pro" w:eastAsia="Source Sans Pro" w:hAnsi="Source Sans Pro" w:cs="Source Sans Pro"/>
        </w:rPr>
        <w:t xml:space="preserve"> to help you get up and running with new features fast:</w:t>
      </w:r>
    </w:p>
    <w:p w14:paraId="64B5A471" w14:textId="38999E7F" w:rsidR="0A14EE83" w:rsidRDefault="0A14EE83" w:rsidP="551C3D9C">
      <w:pPr>
        <w:pStyle w:val="ListParagraph"/>
        <w:numPr>
          <w:ilvl w:val="0"/>
          <w:numId w:val="3"/>
        </w:num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  <w:i/>
          <w:iCs/>
        </w:rPr>
        <w:t>Training Center</w:t>
      </w:r>
      <w:r w:rsidR="17AC0BEA" w:rsidRPr="551C3D9C">
        <w:rPr>
          <w:rFonts w:ascii="Source Sans Pro" w:eastAsia="Source Sans Pro" w:hAnsi="Source Sans Pro" w:cs="Source Sans Pro"/>
          <w:i/>
          <w:iCs/>
        </w:rPr>
        <w:t>:</w:t>
      </w:r>
      <w:r w:rsidR="17AC0BEA" w:rsidRPr="551C3D9C">
        <w:rPr>
          <w:rFonts w:ascii="Source Sans Pro" w:eastAsia="Source Sans Pro" w:hAnsi="Source Sans Pro" w:cs="Source Sans Pro"/>
        </w:rPr>
        <w:t xml:space="preserve"> A new hub for all your Total Expert product education needs, including interactive feature walkthroughs, best practice webinars, feature spotlights, and additional training videos.</w:t>
      </w:r>
    </w:p>
    <w:p w14:paraId="2F0C7BC8" w14:textId="4A20B0D6" w:rsidR="0A14EE83" w:rsidRDefault="0A14EE83" w:rsidP="551C3D9C">
      <w:pPr>
        <w:pStyle w:val="ListParagraph"/>
        <w:numPr>
          <w:ilvl w:val="0"/>
          <w:numId w:val="3"/>
        </w:num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  <w:i/>
          <w:iCs/>
        </w:rPr>
        <w:t>Product User Guides</w:t>
      </w:r>
      <w:r w:rsidR="5C33555D" w:rsidRPr="551C3D9C">
        <w:rPr>
          <w:rFonts w:ascii="Source Sans Pro" w:eastAsia="Source Sans Pro" w:hAnsi="Source Sans Pro" w:cs="Source Sans Pro"/>
          <w:i/>
          <w:iCs/>
        </w:rPr>
        <w:t>:</w:t>
      </w:r>
      <w:r w:rsidR="5C33555D" w:rsidRPr="551C3D9C">
        <w:rPr>
          <w:rFonts w:ascii="Source Sans Pro" w:eastAsia="Source Sans Pro" w:hAnsi="Source Sans Pro" w:cs="Source Sans Pro"/>
        </w:rPr>
        <w:t xml:space="preserve"> Thorough, step-by-step instruction on how to use every feature in the platform.</w:t>
      </w:r>
    </w:p>
    <w:p w14:paraId="71541CBA" w14:textId="0BF9ED8C" w:rsidR="14F5D64D" w:rsidRDefault="14F5D64D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</w:rPr>
        <w:t xml:space="preserve">Both resources are available in the platform through the following steps. </w:t>
      </w:r>
    </w:p>
    <w:p w14:paraId="03E2392F" w14:textId="2B418408" w:rsidR="14F5D64D" w:rsidRDefault="14F5D64D" w:rsidP="551C3D9C">
      <w:pPr>
        <w:pStyle w:val="ListParagraph"/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</w:rPr>
        <w:t xml:space="preserve">Go to </w:t>
      </w:r>
      <w:hyperlink r:id="rId10">
        <w:r w:rsidRPr="551C3D9C">
          <w:rPr>
            <w:rStyle w:val="Hyperlink"/>
            <w:rFonts w:ascii="Source Sans Pro" w:eastAsia="Source Sans Pro" w:hAnsi="Source Sans Pro" w:cs="Source Sans Pro"/>
          </w:rPr>
          <w:t>totalexpert.net</w:t>
        </w:r>
      </w:hyperlink>
    </w:p>
    <w:p w14:paraId="21BED3A2" w14:textId="329D5CED" w:rsidR="14F5D64D" w:rsidRDefault="14F5D64D" w:rsidP="551C3D9C">
      <w:pPr>
        <w:pStyle w:val="ListParagraph"/>
        <w:numPr>
          <w:ilvl w:val="0"/>
          <w:numId w:val="2"/>
        </w:numPr>
      </w:pPr>
      <w:r w:rsidRPr="551C3D9C">
        <w:rPr>
          <w:rFonts w:ascii="Source Sans Pro" w:eastAsia="Source Sans Pro" w:hAnsi="Source Sans Pro" w:cs="Source Sans Pro"/>
        </w:rPr>
        <w:t>Log in with your username and password</w:t>
      </w:r>
    </w:p>
    <w:p w14:paraId="32D5B7FE" w14:textId="00F8F761" w:rsidR="14F5D64D" w:rsidRDefault="14F5D64D" w:rsidP="551C3D9C">
      <w:pPr>
        <w:pStyle w:val="ListParagraph"/>
        <w:numPr>
          <w:ilvl w:val="0"/>
          <w:numId w:val="2"/>
        </w:numPr>
      </w:pPr>
      <w:r w:rsidRPr="551C3D9C">
        <w:rPr>
          <w:rFonts w:ascii="Source Sans Pro" w:eastAsia="Source Sans Pro" w:hAnsi="Source Sans Pro" w:cs="Source Sans Pro"/>
        </w:rPr>
        <w:t>In the top navigation bar, click the question mark help icon</w:t>
      </w:r>
    </w:p>
    <w:p w14:paraId="7943A8B5" w14:textId="3D6BDAC3" w:rsidR="14F5D64D" w:rsidRDefault="14F5D64D" w:rsidP="551C3D9C">
      <w:pPr>
        <w:pStyle w:val="ListParagraph"/>
        <w:numPr>
          <w:ilvl w:val="0"/>
          <w:numId w:val="2"/>
        </w:numPr>
      </w:pPr>
      <w:r w:rsidRPr="551C3D9C">
        <w:rPr>
          <w:rFonts w:ascii="Source Sans Pro" w:eastAsia="Source Sans Pro" w:hAnsi="Source Sans Pro" w:cs="Source Sans Pro"/>
        </w:rPr>
        <w:t>Choose Training Resource Center or Product User Guide</w:t>
      </w:r>
    </w:p>
    <w:p w14:paraId="197317C9" w14:textId="0806F429" w:rsidR="14F5D64D" w:rsidRDefault="14F5D64D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  <w:b/>
          <w:bCs/>
        </w:rPr>
        <w:t>Do Not Contact</w:t>
      </w:r>
      <w:r>
        <w:br/>
      </w:r>
      <w:r w:rsidR="3B15C16A" w:rsidRPr="551C3D9C">
        <w:rPr>
          <w:rFonts w:ascii="Source Sans Pro" w:eastAsia="Source Sans Pro" w:hAnsi="Source Sans Pro" w:cs="Source Sans Pro"/>
        </w:rPr>
        <w:t>Do not contact allows you to suppress future emails, test messages, and print communications for</w:t>
      </w:r>
      <w:r w:rsidR="488EB102" w:rsidRPr="551C3D9C">
        <w:rPr>
          <w:rFonts w:ascii="Source Sans Pro" w:eastAsia="Source Sans Pro" w:hAnsi="Source Sans Pro" w:cs="Source Sans Pro"/>
        </w:rPr>
        <w:t xml:space="preserve"> a</w:t>
      </w:r>
      <w:r w:rsidR="3B15C16A" w:rsidRPr="551C3D9C">
        <w:rPr>
          <w:rFonts w:ascii="Source Sans Pro" w:eastAsia="Source Sans Pro" w:hAnsi="Source Sans Pro" w:cs="Source Sans Pro"/>
        </w:rPr>
        <w:t xml:space="preserve"> contact all in one action</w:t>
      </w:r>
      <w:r w:rsidR="1A683403" w:rsidRPr="551C3D9C">
        <w:rPr>
          <w:rFonts w:ascii="Source Sans Pro" w:eastAsia="Source Sans Pro" w:hAnsi="Source Sans Pro" w:cs="Source Sans Pro"/>
        </w:rPr>
        <w:t xml:space="preserve"> to honor </w:t>
      </w:r>
      <w:r w:rsidR="577FA82B" w:rsidRPr="551C3D9C">
        <w:rPr>
          <w:rFonts w:ascii="Source Sans Pro" w:eastAsia="Source Sans Pro" w:hAnsi="Source Sans Pro" w:cs="Source Sans Pro"/>
        </w:rPr>
        <w:t>client</w:t>
      </w:r>
      <w:r w:rsidR="1A683403" w:rsidRPr="551C3D9C">
        <w:rPr>
          <w:rFonts w:ascii="Source Sans Pro" w:eastAsia="Source Sans Pro" w:hAnsi="Source Sans Pro" w:cs="Source Sans Pro"/>
        </w:rPr>
        <w:t xml:space="preserve"> communication preferences. </w:t>
      </w:r>
    </w:p>
    <w:p w14:paraId="6284EB96" w14:textId="6A293D3C" w:rsidR="5DCA8C84" w:rsidRDefault="5DCA8C84" w:rsidP="551C3D9C">
      <w:pPr>
        <w:rPr>
          <w:rFonts w:ascii="Source Sans Pro" w:eastAsia="Source Sans Pro" w:hAnsi="Source Sans Pro" w:cs="Source Sans Pro"/>
        </w:rPr>
      </w:pPr>
      <w:r w:rsidRPr="590CF0C6">
        <w:rPr>
          <w:rFonts w:ascii="Source Sans Pro" w:eastAsia="Source Sans Pro" w:hAnsi="Source Sans Pro" w:cs="Source Sans Pro"/>
        </w:rPr>
        <w:t xml:space="preserve">Learn how to set a contact as Do Not Contact </w:t>
      </w:r>
      <w:r w:rsidR="655E5CC3" w:rsidRPr="590CF0C6">
        <w:rPr>
          <w:rFonts w:ascii="Source Sans Pro" w:eastAsia="Source Sans Pro" w:hAnsi="Source Sans Pro" w:cs="Source Sans Pro"/>
        </w:rPr>
        <w:t>with this</w:t>
      </w:r>
      <w:r w:rsidRPr="590CF0C6">
        <w:rPr>
          <w:rFonts w:ascii="Source Sans Pro" w:eastAsia="Source Sans Pro" w:hAnsi="Source Sans Pro" w:cs="Source Sans Pro"/>
        </w:rPr>
        <w:t xml:space="preserve"> </w:t>
      </w:r>
      <w:hyperlink r:id="rId11">
        <w:r w:rsidR="42EBD0E7" w:rsidRPr="590CF0C6">
          <w:rPr>
            <w:rStyle w:val="Hyperlink"/>
            <w:rFonts w:ascii="Source Sans Pro" w:eastAsia="Source Sans Pro" w:hAnsi="Source Sans Pro" w:cs="Source Sans Pro"/>
          </w:rPr>
          <w:t>W</w:t>
        </w:r>
        <w:r w:rsidRPr="590CF0C6">
          <w:rPr>
            <w:rStyle w:val="Hyperlink"/>
            <w:rFonts w:ascii="Source Sans Pro" w:eastAsia="Source Sans Pro" w:hAnsi="Source Sans Pro" w:cs="Source Sans Pro"/>
          </w:rPr>
          <w:t xml:space="preserve">alkthrough </w:t>
        </w:r>
        <w:r w:rsidR="244A11A2" w:rsidRPr="590CF0C6">
          <w:rPr>
            <w:rStyle w:val="Hyperlink"/>
            <w:rFonts w:ascii="Source Sans Pro" w:eastAsia="Source Sans Pro" w:hAnsi="Source Sans Pro" w:cs="Source Sans Pro"/>
          </w:rPr>
          <w:t>G</w:t>
        </w:r>
        <w:r w:rsidRPr="590CF0C6">
          <w:rPr>
            <w:rStyle w:val="Hyperlink"/>
            <w:rFonts w:ascii="Source Sans Pro" w:eastAsia="Source Sans Pro" w:hAnsi="Source Sans Pro" w:cs="Source Sans Pro"/>
          </w:rPr>
          <w:t>uide</w:t>
        </w:r>
      </w:hyperlink>
    </w:p>
    <w:p w14:paraId="278CF51D" w14:textId="1189BA2B" w:rsidR="5DCA8C84" w:rsidRDefault="5DCA8C84" w:rsidP="551C3D9C">
      <w:r w:rsidRPr="551C3D9C">
        <w:rPr>
          <w:rFonts w:ascii="Source Sans Pro" w:eastAsia="Source Sans Pro" w:hAnsi="Source Sans Pro" w:cs="Source Sans Pro"/>
        </w:rPr>
        <w:t xml:space="preserve">Keep in mind, setting someone as Do Not Contact means: </w:t>
      </w:r>
    </w:p>
    <w:p w14:paraId="70089827" w14:textId="76C0F4CC" w:rsidR="5DCA8C84" w:rsidRDefault="5DCA8C84" w:rsidP="551C3D9C">
      <w:pPr>
        <w:pStyle w:val="ListParagraph"/>
        <w:numPr>
          <w:ilvl w:val="0"/>
          <w:numId w:val="1"/>
        </w:numPr>
        <w:spacing w:after="0"/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</w:rPr>
        <w:t>Any outbound emails and SM</w:t>
      </w:r>
      <w:r w:rsidR="0A70B6DA" w:rsidRPr="551C3D9C">
        <w:rPr>
          <w:rFonts w:ascii="Source Sans Pro" w:eastAsia="Source Sans Pro" w:hAnsi="Source Sans Pro" w:cs="Source Sans Pro"/>
        </w:rPr>
        <w:t>S</w:t>
      </w:r>
      <w:r w:rsidRPr="551C3D9C">
        <w:rPr>
          <w:rFonts w:ascii="Source Sans Pro" w:eastAsia="Source Sans Pro" w:hAnsi="Source Sans Pro" w:cs="Source Sans Pro"/>
        </w:rPr>
        <w:t xml:space="preserve"> messages will be suppressed from you and anyone in your organization.</w:t>
      </w:r>
    </w:p>
    <w:p w14:paraId="5A30B8AB" w14:textId="0A5B1960" w:rsidR="5DCA8C84" w:rsidRDefault="5DCA8C84" w:rsidP="551C3D9C">
      <w:pPr>
        <w:pStyle w:val="ListParagraph"/>
        <w:numPr>
          <w:ilvl w:val="0"/>
          <w:numId w:val="1"/>
        </w:numPr>
        <w:spacing w:after="0"/>
      </w:pPr>
      <w:r w:rsidRPr="551C3D9C">
        <w:rPr>
          <w:rFonts w:ascii="Source Sans Pro" w:eastAsia="Source Sans Pro" w:hAnsi="Source Sans Pro" w:cs="Source Sans Pro"/>
        </w:rPr>
        <w:t>They will no longer appear in your Contact List.</w:t>
      </w:r>
    </w:p>
    <w:p w14:paraId="24B7F356" w14:textId="32C72302" w:rsidR="5DCA8C84" w:rsidRDefault="5DCA8C84" w:rsidP="551C3D9C">
      <w:pPr>
        <w:pStyle w:val="ListParagraph"/>
        <w:numPr>
          <w:ilvl w:val="0"/>
          <w:numId w:val="1"/>
        </w:numPr>
        <w:spacing w:after="0"/>
      </w:pPr>
      <w:r w:rsidRPr="551C3D9C">
        <w:rPr>
          <w:rFonts w:ascii="Source Sans Pro" w:eastAsia="Source Sans Pro" w:hAnsi="Source Sans Pro" w:cs="Source Sans Pro"/>
        </w:rPr>
        <w:t xml:space="preserve">They will be placed in your Do Not Contact List. </w:t>
      </w:r>
    </w:p>
    <w:p w14:paraId="5FEFB19B" w14:textId="1057489F" w:rsidR="5DCA8C84" w:rsidRDefault="5DCA8C84" w:rsidP="551C3D9C">
      <w:pPr>
        <w:pStyle w:val="ListParagraph"/>
        <w:numPr>
          <w:ilvl w:val="0"/>
          <w:numId w:val="1"/>
        </w:numPr>
        <w:spacing w:after="0"/>
      </w:pPr>
      <w:r w:rsidRPr="551C3D9C">
        <w:rPr>
          <w:rFonts w:ascii="Source Sans Pro" w:eastAsia="Source Sans Pro" w:hAnsi="Source Sans Pro" w:cs="Source Sans Pro"/>
        </w:rPr>
        <w:t>This action cannot be reversed – so make sure you want to proceed.</w:t>
      </w:r>
    </w:p>
    <w:p w14:paraId="38636BCE" w14:textId="6D0B01BF" w:rsidR="551C3D9C" w:rsidRDefault="551C3D9C" w:rsidP="551C3D9C">
      <w:pPr>
        <w:spacing w:after="0"/>
        <w:rPr>
          <w:rFonts w:ascii="Source Sans Pro" w:eastAsia="Source Sans Pro" w:hAnsi="Source Sans Pro" w:cs="Source Sans Pro"/>
        </w:rPr>
      </w:pPr>
    </w:p>
    <w:p w14:paraId="6C49F053" w14:textId="004DA83A" w:rsidR="322AE4BC" w:rsidRDefault="322AE4BC" w:rsidP="551C3D9C">
      <w:pPr>
        <w:rPr>
          <w:rFonts w:ascii="Source Sans Pro" w:eastAsia="Source Sans Pro" w:hAnsi="Source Sans Pro" w:cs="Source Sans Pro"/>
        </w:rPr>
      </w:pPr>
      <w:r w:rsidRPr="551C3D9C">
        <w:rPr>
          <w:rFonts w:ascii="Source Sans Pro" w:eastAsia="Source Sans Pro" w:hAnsi="Source Sans Pro" w:cs="Source Sans Pro"/>
        </w:rPr>
        <w:t xml:space="preserve">Log in to </w:t>
      </w:r>
      <w:r w:rsidRPr="551C3D9C">
        <w:rPr>
          <w:rFonts w:ascii="Source Sans Pro" w:eastAsia="Source Sans Pro" w:hAnsi="Source Sans Pro" w:cs="Source Sans Pro"/>
          <w:color w:val="7030A0"/>
        </w:rPr>
        <w:t>[Total Expert]</w:t>
      </w:r>
      <w:r w:rsidRPr="551C3D9C">
        <w:rPr>
          <w:rFonts w:ascii="Source Sans Pro" w:eastAsia="Source Sans Pro" w:hAnsi="Source Sans Pro" w:cs="Source Sans Pro"/>
        </w:rPr>
        <w:t xml:space="preserve"> t</w:t>
      </w:r>
      <w:r w:rsidR="4131455D" w:rsidRPr="551C3D9C">
        <w:rPr>
          <w:rFonts w:ascii="Source Sans Pro" w:eastAsia="Source Sans Pro" w:hAnsi="Source Sans Pro" w:cs="Source Sans Pro"/>
        </w:rPr>
        <w:t xml:space="preserve">o start benefiting from these new features: </w:t>
      </w:r>
      <w:r w:rsidR="4131455D" w:rsidRPr="551C3D9C">
        <w:rPr>
          <w:rFonts w:ascii="Source Sans Pro" w:eastAsia="Source Sans Pro" w:hAnsi="Source Sans Pro" w:cs="Source Sans Pro"/>
          <w:color w:val="7030A0"/>
        </w:rPr>
        <w:t>[Link to user account]</w:t>
      </w:r>
    </w:p>
    <w:sectPr w:rsidR="322AE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11EF"/>
    <w:multiLevelType w:val="hybridMultilevel"/>
    <w:tmpl w:val="775C7380"/>
    <w:lvl w:ilvl="0" w:tplc="88A47B66">
      <w:start w:val="1"/>
      <w:numFmt w:val="decimal"/>
      <w:lvlText w:val="%1."/>
      <w:lvlJc w:val="left"/>
      <w:pPr>
        <w:ind w:left="720" w:hanging="360"/>
      </w:pPr>
    </w:lvl>
    <w:lvl w:ilvl="1" w:tplc="93E64AEA">
      <w:start w:val="1"/>
      <w:numFmt w:val="lowerLetter"/>
      <w:lvlText w:val="%2."/>
      <w:lvlJc w:val="left"/>
      <w:pPr>
        <w:ind w:left="1440" w:hanging="360"/>
      </w:pPr>
    </w:lvl>
    <w:lvl w:ilvl="2" w:tplc="630C3E46">
      <w:start w:val="1"/>
      <w:numFmt w:val="lowerRoman"/>
      <w:lvlText w:val="%3."/>
      <w:lvlJc w:val="right"/>
      <w:pPr>
        <w:ind w:left="2160" w:hanging="180"/>
      </w:pPr>
    </w:lvl>
    <w:lvl w:ilvl="3" w:tplc="797ABECC">
      <w:start w:val="1"/>
      <w:numFmt w:val="decimal"/>
      <w:lvlText w:val="%4."/>
      <w:lvlJc w:val="left"/>
      <w:pPr>
        <w:ind w:left="2880" w:hanging="360"/>
      </w:pPr>
    </w:lvl>
    <w:lvl w:ilvl="4" w:tplc="2618B848">
      <w:start w:val="1"/>
      <w:numFmt w:val="lowerLetter"/>
      <w:lvlText w:val="%5."/>
      <w:lvlJc w:val="left"/>
      <w:pPr>
        <w:ind w:left="3600" w:hanging="360"/>
      </w:pPr>
    </w:lvl>
    <w:lvl w:ilvl="5" w:tplc="4D262C74">
      <w:start w:val="1"/>
      <w:numFmt w:val="lowerRoman"/>
      <w:lvlText w:val="%6."/>
      <w:lvlJc w:val="right"/>
      <w:pPr>
        <w:ind w:left="4320" w:hanging="180"/>
      </w:pPr>
    </w:lvl>
    <w:lvl w:ilvl="6" w:tplc="C01438A6">
      <w:start w:val="1"/>
      <w:numFmt w:val="decimal"/>
      <w:lvlText w:val="%7."/>
      <w:lvlJc w:val="left"/>
      <w:pPr>
        <w:ind w:left="5040" w:hanging="360"/>
      </w:pPr>
    </w:lvl>
    <w:lvl w:ilvl="7" w:tplc="849E34D2">
      <w:start w:val="1"/>
      <w:numFmt w:val="lowerLetter"/>
      <w:lvlText w:val="%8."/>
      <w:lvlJc w:val="left"/>
      <w:pPr>
        <w:ind w:left="5760" w:hanging="360"/>
      </w:pPr>
    </w:lvl>
    <w:lvl w:ilvl="8" w:tplc="DFC87D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71CC3"/>
    <w:multiLevelType w:val="hybridMultilevel"/>
    <w:tmpl w:val="56DA5CCC"/>
    <w:lvl w:ilvl="0" w:tplc="650AC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67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0F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6E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48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AC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8A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0D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21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3478D"/>
    <w:multiLevelType w:val="hybridMultilevel"/>
    <w:tmpl w:val="505E9E9E"/>
    <w:lvl w:ilvl="0" w:tplc="A830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87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6A6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CD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46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A1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6C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A1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68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0B9"/>
    <w:multiLevelType w:val="hybridMultilevel"/>
    <w:tmpl w:val="2CCA91FA"/>
    <w:lvl w:ilvl="0" w:tplc="D0587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02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4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87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88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4F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A2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6E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CF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97C46"/>
    <w:multiLevelType w:val="hybridMultilevel"/>
    <w:tmpl w:val="B5982712"/>
    <w:lvl w:ilvl="0" w:tplc="63900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0C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8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AE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F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0E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D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E5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CB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C22A7"/>
    <w:multiLevelType w:val="hybridMultilevel"/>
    <w:tmpl w:val="505A0426"/>
    <w:lvl w:ilvl="0" w:tplc="62D02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C1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6F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64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24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0B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63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4C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07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863655"/>
    <w:rsid w:val="007C6D49"/>
    <w:rsid w:val="00DB5394"/>
    <w:rsid w:val="00DC7D03"/>
    <w:rsid w:val="014DB2BE"/>
    <w:rsid w:val="0211F5F6"/>
    <w:rsid w:val="021381F8"/>
    <w:rsid w:val="02982CE1"/>
    <w:rsid w:val="02BB6AF9"/>
    <w:rsid w:val="0321F286"/>
    <w:rsid w:val="035746BA"/>
    <w:rsid w:val="03FBA66E"/>
    <w:rsid w:val="04245C88"/>
    <w:rsid w:val="04532484"/>
    <w:rsid w:val="04EEA748"/>
    <w:rsid w:val="05401F97"/>
    <w:rsid w:val="059659E6"/>
    <w:rsid w:val="05CB9F22"/>
    <w:rsid w:val="061E44B4"/>
    <w:rsid w:val="06B060D4"/>
    <w:rsid w:val="06CFB27C"/>
    <w:rsid w:val="06DBBBD9"/>
    <w:rsid w:val="072FE9CE"/>
    <w:rsid w:val="074D5CB6"/>
    <w:rsid w:val="07668513"/>
    <w:rsid w:val="07A25F8C"/>
    <w:rsid w:val="07EC931B"/>
    <w:rsid w:val="08778C3A"/>
    <w:rsid w:val="08B074FC"/>
    <w:rsid w:val="09670A22"/>
    <w:rsid w:val="0A14EE83"/>
    <w:rsid w:val="0A3CBEDA"/>
    <w:rsid w:val="0A70B6DA"/>
    <w:rsid w:val="0B44C06F"/>
    <w:rsid w:val="0B9ECD88"/>
    <w:rsid w:val="0BEED829"/>
    <w:rsid w:val="0C260FF8"/>
    <w:rsid w:val="0C5F27F0"/>
    <w:rsid w:val="0CA0016E"/>
    <w:rsid w:val="0CE090D0"/>
    <w:rsid w:val="0DA097AB"/>
    <w:rsid w:val="0DABF460"/>
    <w:rsid w:val="0ED97250"/>
    <w:rsid w:val="0F039E96"/>
    <w:rsid w:val="114941D2"/>
    <w:rsid w:val="1163F4D9"/>
    <w:rsid w:val="12E71976"/>
    <w:rsid w:val="1331BA84"/>
    <w:rsid w:val="137BDE4F"/>
    <w:rsid w:val="13BDE75C"/>
    <w:rsid w:val="1430F8AF"/>
    <w:rsid w:val="1442104B"/>
    <w:rsid w:val="14BF120F"/>
    <w:rsid w:val="14C7CB46"/>
    <w:rsid w:val="14F5D64D"/>
    <w:rsid w:val="1602A0E3"/>
    <w:rsid w:val="1606D7C4"/>
    <w:rsid w:val="168210C5"/>
    <w:rsid w:val="1766D721"/>
    <w:rsid w:val="17AC0BEA"/>
    <w:rsid w:val="17D56DD2"/>
    <w:rsid w:val="18254DC3"/>
    <w:rsid w:val="18E9CB7F"/>
    <w:rsid w:val="1A683403"/>
    <w:rsid w:val="1ACC7A09"/>
    <w:rsid w:val="1ADEE941"/>
    <w:rsid w:val="1BB32468"/>
    <w:rsid w:val="1BE55364"/>
    <w:rsid w:val="1C4EA72C"/>
    <w:rsid w:val="1C5FCBD8"/>
    <w:rsid w:val="1CCDBDBF"/>
    <w:rsid w:val="1CF9B9D6"/>
    <w:rsid w:val="1D2FCD87"/>
    <w:rsid w:val="1D3D5203"/>
    <w:rsid w:val="1E4E5E92"/>
    <w:rsid w:val="1E798144"/>
    <w:rsid w:val="20119963"/>
    <w:rsid w:val="20129625"/>
    <w:rsid w:val="20F65B15"/>
    <w:rsid w:val="2104942F"/>
    <w:rsid w:val="218381D1"/>
    <w:rsid w:val="2188CCB1"/>
    <w:rsid w:val="22BD0E6C"/>
    <w:rsid w:val="23704089"/>
    <w:rsid w:val="238057E0"/>
    <w:rsid w:val="23EA66CB"/>
    <w:rsid w:val="23ED2A82"/>
    <w:rsid w:val="24020FEC"/>
    <w:rsid w:val="243E88A6"/>
    <w:rsid w:val="243EA30E"/>
    <w:rsid w:val="244A11A2"/>
    <w:rsid w:val="249EF3E4"/>
    <w:rsid w:val="251C97A3"/>
    <w:rsid w:val="2535C67B"/>
    <w:rsid w:val="26782FC7"/>
    <w:rsid w:val="26D6AFCD"/>
    <w:rsid w:val="281D7D58"/>
    <w:rsid w:val="286D673D"/>
    <w:rsid w:val="28EEDFCD"/>
    <w:rsid w:val="297C6D87"/>
    <w:rsid w:val="299F19EC"/>
    <w:rsid w:val="2A1DCFFA"/>
    <w:rsid w:val="2B5369C0"/>
    <w:rsid w:val="2C087F52"/>
    <w:rsid w:val="2C1FACC9"/>
    <w:rsid w:val="2C40F387"/>
    <w:rsid w:val="2C48807A"/>
    <w:rsid w:val="2C986A22"/>
    <w:rsid w:val="2F62D17E"/>
    <w:rsid w:val="2F74F678"/>
    <w:rsid w:val="3000343C"/>
    <w:rsid w:val="30410FAA"/>
    <w:rsid w:val="305F4A4A"/>
    <w:rsid w:val="30D5697E"/>
    <w:rsid w:val="3223FB5B"/>
    <w:rsid w:val="322AE4BC"/>
    <w:rsid w:val="32AB159F"/>
    <w:rsid w:val="32F0C76C"/>
    <w:rsid w:val="3331F8F5"/>
    <w:rsid w:val="33F54E3C"/>
    <w:rsid w:val="34ED21EE"/>
    <w:rsid w:val="35DF1FF8"/>
    <w:rsid w:val="360A570E"/>
    <w:rsid w:val="36D67954"/>
    <w:rsid w:val="37A25AC9"/>
    <w:rsid w:val="37C2553C"/>
    <w:rsid w:val="37CF63DA"/>
    <w:rsid w:val="38586993"/>
    <w:rsid w:val="3866A2AD"/>
    <w:rsid w:val="38933CDF"/>
    <w:rsid w:val="39633E8E"/>
    <w:rsid w:val="3AC33476"/>
    <w:rsid w:val="3B15C16A"/>
    <w:rsid w:val="3B77FB42"/>
    <w:rsid w:val="3BA9F0F2"/>
    <w:rsid w:val="3BFAE006"/>
    <w:rsid w:val="3CAA7BF8"/>
    <w:rsid w:val="3CBCAC26"/>
    <w:rsid w:val="3D8AAC82"/>
    <w:rsid w:val="3DD5F966"/>
    <w:rsid w:val="3E09EDEF"/>
    <w:rsid w:val="3EC58B25"/>
    <w:rsid w:val="3F1F4245"/>
    <w:rsid w:val="3F270EAB"/>
    <w:rsid w:val="3F7D7D3C"/>
    <w:rsid w:val="402BC3D6"/>
    <w:rsid w:val="4123FCAF"/>
    <w:rsid w:val="4131455D"/>
    <w:rsid w:val="413807B2"/>
    <w:rsid w:val="426CE33B"/>
    <w:rsid w:val="42EBD0E7"/>
    <w:rsid w:val="437FACAD"/>
    <w:rsid w:val="43DCC447"/>
    <w:rsid w:val="4450EE5F"/>
    <w:rsid w:val="44A5F135"/>
    <w:rsid w:val="457B72DA"/>
    <w:rsid w:val="46B74D6F"/>
    <w:rsid w:val="47555A2D"/>
    <w:rsid w:val="481C0F2F"/>
    <w:rsid w:val="488EB102"/>
    <w:rsid w:val="49B7DF90"/>
    <w:rsid w:val="49EEEE31"/>
    <w:rsid w:val="4A07F675"/>
    <w:rsid w:val="4A6D254B"/>
    <w:rsid w:val="4A728350"/>
    <w:rsid w:val="4C1132B1"/>
    <w:rsid w:val="4C9C9531"/>
    <w:rsid w:val="4CD817E2"/>
    <w:rsid w:val="4D0D6696"/>
    <w:rsid w:val="4D26B631"/>
    <w:rsid w:val="4D42B645"/>
    <w:rsid w:val="4DF2B139"/>
    <w:rsid w:val="4EC28692"/>
    <w:rsid w:val="4EC907BF"/>
    <w:rsid w:val="4ED670EC"/>
    <w:rsid w:val="4EDE86A6"/>
    <w:rsid w:val="4F208FB3"/>
    <w:rsid w:val="4F8E819A"/>
    <w:rsid w:val="4FA48872"/>
    <w:rsid w:val="4FE238DA"/>
    <w:rsid w:val="50863655"/>
    <w:rsid w:val="518BBD87"/>
    <w:rsid w:val="519E40AB"/>
    <w:rsid w:val="51BCAD1B"/>
    <w:rsid w:val="520E65AC"/>
    <w:rsid w:val="526E523B"/>
    <w:rsid w:val="53607EBA"/>
    <w:rsid w:val="536BFA23"/>
    <w:rsid w:val="53BE0222"/>
    <w:rsid w:val="551C3D9C"/>
    <w:rsid w:val="55BB8323"/>
    <w:rsid w:val="56F869E1"/>
    <w:rsid w:val="57468F62"/>
    <w:rsid w:val="577FA82B"/>
    <w:rsid w:val="57FBA347"/>
    <w:rsid w:val="582C447C"/>
    <w:rsid w:val="5871565E"/>
    <w:rsid w:val="589275DE"/>
    <w:rsid w:val="590CF0C6"/>
    <w:rsid w:val="59388CF8"/>
    <w:rsid w:val="59681009"/>
    <w:rsid w:val="59925AB7"/>
    <w:rsid w:val="5A0D26BF"/>
    <w:rsid w:val="5A2FD1CE"/>
    <w:rsid w:val="5A336A31"/>
    <w:rsid w:val="5A3E0AE8"/>
    <w:rsid w:val="5AACD392"/>
    <w:rsid w:val="5ADEE336"/>
    <w:rsid w:val="5AF8D4EE"/>
    <w:rsid w:val="5B7D1397"/>
    <w:rsid w:val="5B8A4FEF"/>
    <w:rsid w:val="5B8E626A"/>
    <w:rsid w:val="5BBB9D55"/>
    <w:rsid w:val="5C33555D"/>
    <w:rsid w:val="5D72A05F"/>
    <w:rsid w:val="5DA2222F"/>
    <w:rsid w:val="5DC582BE"/>
    <w:rsid w:val="5DCA8C84"/>
    <w:rsid w:val="5E51BC6E"/>
    <w:rsid w:val="5FE873DE"/>
    <w:rsid w:val="6022EAEE"/>
    <w:rsid w:val="6069EC6E"/>
    <w:rsid w:val="60845F66"/>
    <w:rsid w:val="60B21C03"/>
    <w:rsid w:val="615DCB2A"/>
    <w:rsid w:val="616CB431"/>
    <w:rsid w:val="61895D30"/>
    <w:rsid w:val="61C69E44"/>
    <w:rsid w:val="61FF1047"/>
    <w:rsid w:val="63332B6D"/>
    <w:rsid w:val="63CC1473"/>
    <w:rsid w:val="641F5998"/>
    <w:rsid w:val="64868ED7"/>
    <w:rsid w:val="654221A2"/>
    <w:rsid w:val="655E5CC3"/>
    <w:rsid w:val="65AFB5FA"/>
    <w:rsid w:val="676EE083"/>
    <w:rsid w:val="67A07B2B"/>
    <w:rsid w:val="68BD71C9"/>
    <w:rsid w:val="6909C8FC"/>
    <w:rsid w:val="69113535"/>
    <w:rsid w:val="69248F88"/>
    <w:rsid w:val="6A082729"/>
    <w:rsid w:val="6A81348F"/>
    <w:rsid w:val="6AA5995D"/>
    <w:rsid w:val="6B11F7AD"/>
    <w:rsid w:val="6BA5F28D"/>
    <w:rsid w:val="6BC1D877"/>
    <w:rsid w:val="6C91C7FA"/>
    <w:rsid w:val="6D0ABEE5"/>
    <w:rsid w:val="6D3C2599"/>
    <w:rsid w:val="6D4A2298"/>
    <w:rsid w:val="6D4CC177"/>
    <w:rsid w:val="6D9EB34A"/>
    <w:rsid w:val="6E2D985B"/>
    <w:rsid w:val="6EA7FB9F"/>
    <w:rsid w:val="6FF0C168"/>
    <w:rsid w:val="703625B3"/>
    <w:rsid w:val="7066B29F"/>
    <w:rsid w:val="715EDF40"/>
    <w:rsid w:val="71892D32"/>
    <w:rsid w:val="7200DBF2"/>
    <w:rsid w:val="72AA8A6F"/>
    <w:rsid w:val="731C0E17"/>
    <w:rsid w:val="737A0069"/>
    <w:rsid w:val="746B8F89"/>
    <w:rsid w:val="7577C76F"/>
    <w:rsid w:val="765C9E55"/>
    <w:rsid w:val="76DA7B60"/>
    <w:rsid w:val="76F94893"/>
    <w:rsid w:val="7711B23A"/>
    <w:rsid w:val="77656B1E"/>
    <w:rsid w:val="792646B5"/>
    <w:rsid w:val="7973C479"/>
    <w:rsid w:val="7A443A0B"/>
    <w:rsid w:val="7A6A8F22"/>
    <w:rsid w:val="7AA8EEB9"/>
    <w:rsid w:val="7B16E71B"/>
    <w:rsid w:val="7BF1B482"/>
    <w:rsid w:val="7C1BE4E5"/>
    <w:rsid w:val="7C5FACE4"/>
    <w:rsid w:val="7DBD2B4B"/>
    <w:rsid w:val="7E17C6F4"/>
    <w:rsid w:val="7E4BA9AB"/>
    <w:rsid w:val="7F6B5BF3"/>
    <w:rsid w:val="7FB1E25C"/>
    <w:rsid w:val="7FB6564C"/>
    <w:rsid w:val="7FD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3655"/>
  <w15:chartTrackingRefBased/>
  <w15:docId w15:val="{48AC04E5-114D-494E-96CB-0FAE1CED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talexpert.com/engagement-resource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talexpert-trainingteam.s3.us-east-2.amazonaws.com/TE_DoNotContact/Limiting+Communication+Options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totalexpert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otalexpert-trainingteam.s3.us-east-2.amazonaws.com/TE_ListingInsights/End+Users+-+Getting+Started+with+Listing+Insights+(GA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3461F03B38A4F82D32CEEA3582D55" ma:contentTypeVersion="12" ma:contentTypeDescription="Create a new document." ma:contentTypeScope="" ma:versionID="63a390a140e93d35981684154086080a">
  <xsd:schema xmlns:xsd="http://www.w3.org/2001/XMLSchema" xmlns:xs="http://www.w3.org/2001/XMLSchema" xmlns:p="http://schemas.microsoft.com/office/2006/metadata/properties" xmlns:ns2="4f463e79-da0f-40a9-9501-133b81999acb" xmlns:ns3="5da41423-e3e4-4ae5-a8dc-738d15dc0920" targetNamespace="http://schemas.microsoft.com/office/2006/metadata/properties" ma:root="true" ma:fieldsID="8d5dae3556e7eaf34c109587caa7a4f5" ns2:_="" ns3:_="">
    <xsd:import namespace="4f463e79-da0f-40a9-9501-133b81999acb"/>
    <xsd:import namespace="5da41423-e3e4-4ae5-a8dc-738d15dc0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escrip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3e79-da0f-40a9-9501-133b81999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41423-e3e4-4ae5-a8dc-738d15dc0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f463e79-da0f-40a9-9501-133b81999a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F74BB-9639-4F2A-BBE7-3EA56DFA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3e79-da0f-40a9-9501-133b81999acb"/>
    <ds:schemaRef ds:uri="5da41423-e3e4-4ae5-a8dc-738d15dc0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33446-0FE1-4974-9F83-1428C5421E27}">
  <ds:schemaRefs>
    <ds:schemaRef ds:uri="http://schemas.microsoft.com/office/2006/metadata/properties"/>
    <ds:schemaRef ds:uri="http://schemas.microsoft.com/office/infopath/2007/PartnerControls"/>
    <ds:schemaRef ds:uri="4f463e79-da0f-40a9-9501-133b81999acb"/>
  </ds:schemaRefs>
</ds:datastoreItem>
</file>

<file path=customXml/itemProps3.xml><?xml version="1.0" encoding="utf-8"?>
<ds:datastoreItem xmlns:ds="http://schemas.openxmlformats.org/officeDocument/2006/customXml" ds:itemID="{0F8E22ED-D07A-4FB9-B017-3F57E7727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Mayer</dc:creator>
  <cp:keywords/>
  <dc:description/>
  <cp:lastModifiedBy>Bobbi Jo Dallas</cp:lastModifiedBy>
  <cp:revision>2</cp:revision>
  <dcterms:created xsi:type="dcterms:W3CDTF">2020-12-02T18:28:00Z</dcterms:created>
  <dcterms:modified xsi:type="dcterms:W3CDTF">2020-12-02T18:28:00Z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0x0101008703461F03B38A4F82D32CEEA3582D55</vt:lpwstr>
  </property>
</Properties>
</file>